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</w:rPr>
        <w:drawing>
          <wp:inline distB="0" distT="0" distL="0" distR="0">
            <wp:extent cx="1095375" cy="923925"/>
            <wp:effectExtent b="0" l="0" r="0" t="0"/>
            <wp:docPr descr="logoDEYAK" id="1" name="image1.jpg"/>
            <a:graphic>
              <a:graphicData uri="http://schemas.openxmlformats.org/drawingml/2006/picture">
                <pic:pic>
                  <pic:nvPicPr>
                    <pic:cNvPr descr="logoDEYAK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2678.0" w:type="dxa"/>
        <w:jc w:val="center"/>
        <w:tblLayout w:type="fixed"/>
        <w:tblLook w:val="0400"/>
      </w:tblPr>
      <w:tblGrid>
        <w:gridCol w:w="1970"/>
        <w:gridCol w:w="236"/>
        <w:gridCol w:w="236"/>
        <w:gridCol w:w="236"/>
        <w:tblGridChange w:id="0">
          <w:tblGrid>
            <w:gridCol w:w="1970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center"/>
        <w:tblLayout w:type="fixed"/>
        <w:tblLook w:val="0400"/>
      </w:tblPr>
      <w:tblGrid>
        <w:gridCol w:w="3510"/>
        <w:gridCol w:w="270"/>
        <w:gridCol w:w="5835"/>
        <w:tblGridChange w:id="0">
          <w:tblGrid>
            <w:gridCol w:w="3510"/>
            <w:gridCol w:w="270"/>
            <w:gridCol w:w="5835"/>
          </w:tblGrid>
        </w:tblGridChange>
      </w:tblGrid>
      <w:tr>
        <w:trPr>
          <w:cantSplit w:val="0"/>
          <w:trHeight w:val="2955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right="-514.842519685039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ΔΗΜΟΤΙΚΗ ΕΠΙΧΕΙΡΗΣΗ ΥΔΡΕΥΣΗΣ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-514.842519685039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ΑΠΟΧΕΤΕΥΣΗΣ ΚΟΖΑΝΗΣ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-514.842519685039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13"/>
                <w:szCs w:val="13"/>
                <w:vertAlign w:val="superscript"/>
                <w:rtl w:val="0"/>
              </w:rPr>
              <w:t xml:space="preserve">ο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χλμ. Π.Ε.Ο. Κοζάνης – Θεσσαλονίκης,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right="-514.842519685039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ΤΚ 501 00 Κοζάνη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-514.842519685039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Τηλ:  +30 24610 51500 / 51523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514.842519685039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Φαξ: +30 24610 51550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right="-89.6456692913386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Email:panousis.vasilios@gmail.com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-514.842519685039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Πληροφορίες : κ. Πανούσης Βασίλειο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ind w:left="1700.7874015748034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ΑΝΤΙΚΕΙΜΕΝΟ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700.787401574803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1700.787401574803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ΠΡΟΜΗΘΕΙΑ  ΣΤΟΙΧΕΙΩΝ ΕΝΑΛΛΑΓΗΣ ΘΕΡΜΙΚΩΝ ΥΠΟΣΤΑΘΜΩΝ ΚΑΤΑΝΑΛΩΤΩΝ ΤΗΛΕΘΕΡΜΑΝΣΗΣ ΚΟΖΑΝΗΣ ΓΙΑ ΤΙΣ ΠΕΡΙΟΔΟΥΣ ΛΕΙΤΟΥΡΓΙΑΣ 2022/2023 &amp; 2023/2024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»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700.787401574803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700.787401574803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CPV: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42511100-2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gridSpan w:val="3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ΑΡΙΘΜΟΣ ΑΝΑΦΟΡΑΣ: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Τ/Θ 0444/2022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ΠΡΟΫΠΟΛΟΓΙΖΟΜΕΝΗ ΔΑΠΑΝΗ: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79.162,00 € πλέον ΦΠΑ 24%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ΧΡΗΜΑΤΟΔΟΤΗΣΗ:ΙΔΙΟΙ ΠΟΡΟΙ – 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Κ.Α. :  24-00-00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ΠΑΡΑΡΤΗΜΑ E’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ΦΥΛΛΟ ΣΥΜΜΟΡΦΩΣΗΣ</w:t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334000" cy="278883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788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ΚΟΖΑΝΗ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ΙΟΥΛΙΟΣ 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3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lasSouv" w:cs="HellasSouv" w:eastAsia="HellasSouv" w:hAnsi="HellasSouv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38" w:w="11906" w:orient="portrait"/>
          <w:pgMar w:bottom="1133.8582677165355" w:top="1133.8582677165355" w:left="1133.8582677165355" w:right="1020.472440944882" w:header="567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ΦΥΛΛΟ ΣΥΜΟΡΦΩΣΗΣ ΤΕΧΝΙΚΩΝ ΠΡΟΔΙΑΓΡΑΦΩΝ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83.795275590555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2.3777537101545"/>
        <w:gridCol w:w="1943.2829435354042"/>
        <w:gridCol w:w="2314.4718203904818"/>
        <w:gridCol w:w="1593.9287064953317"/>
        <w:gridCol w:w="3198.774732898166"/>
        <w:gridCol w:w="1593.9287064953317"/>
        <w:gridCol w:w="3297.0306120656865"/>
        <w:tblGridChange w:id="0">
          <w:tblGrid>
            <w:gridCol w:w="742.3777537101545"/>
            <w:gridCol w:w="1943.2829435354042"/>
            <w:gridCol w:w="2314.4718203904818"/>
            <w:gridCol w:w="1593.9287064953317"/>
            <w:gridCol w:w="3198.774732898166"/>
            <w:gridCol w:w="1593.9287064953317"/>
            <w:gridCol w:w="3297.030612065686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61c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Α/Α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1c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ΚΩΔΙΚΟΣ ΥΛΙΚΟΥ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1c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ΤΕΧΝΙΚΗ ΠΡΟΔΙΑΓΡΑΦΗ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1c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ΑΝΑΦΟΡΑ ΣΤΟ ΚΕΙΜΕΝΟ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1c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ΟΥΣΙΑΣΤΙΚΗ ΑΠΑΙΤΗΣΗ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1c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ΑΠΑΝΤΗΣΗ ( ΝΑΙ / ΟΧΙ)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a61c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ΠΑΡΑΠΟΜΠΗ ΣΕ ΤΕΧΝΙΚΗ ΑΝΑΦΟΡΑ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Α. ΤΕΧΝΙΚΑ ΧΑΡΑΚΤΗΡΙΣΤΙΚΑ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Τύπος εναλλάκτη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Επαλλήλων συγκολούμενων εν θερμώ πλακών μη διαρούμενοι (Brazed Plate Heat Exchangers)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Μέσο εναλλαγής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Υπέρθερμο νερό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Ροή εναλλακτών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Καθαρή αντιρροή Πολλαπλών διαδρομών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Μέγιστη Πίεση λειτουργίας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&gt;= 25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Μέγιστη Θερμοκρασία λειτουργίας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&gt;= 130 οC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Θερμοκρασίες σχεδιασμού ΠΡΩΤΕΥΟΝΤΟΣ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115 oC / 65 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Θερμοκρασίες σχεδιασμού ΔΕΥΤΕΡΕΥΟΝΤΟΣ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60 oC / 80 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Υλικό κατασκευής πλακών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Ανοξείδωτος χάλυβας AISI 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Υλικό συγκόλησης πλακών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Χαλκός Cu καθαρότητας &gt;= 99,9 %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Συντελεστής ασφαλείας (margin factor)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Β. ΠΑΡΟΧΕΣ ΣΧΕΔΙΑΣΜΟΥ - ΕΠΙΤΡΕΠΌΜΕΝΕΣ ΠΤΩΣΗΣ ΠΙΕΣΗΣ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Παροχές &amp; Πτώσεις Πίεσης Πρωτεύοντος &amp; Δευτερεύοντος κυκλώματος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2 / Σελ.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ΠΙΝΑΚΑΣ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Γ. ΛΟΙΠΕΣ ΚΑΤΑΣΚΕΥΑΣΤΙΚΕΣ ΑΠΑΙΤΗΣΕΙΣ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Τύπος σύνδεσης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3.1 / Σελ.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Λυόμενη κοχλιωτού τύπου εξωτερικού σπειρώματος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Μονωτικό περίβλημα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3.3 / Σελ.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Προκατασκευασμένο εργοστασιακά λυόμενου τύπου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Υλικό κατασκευής μονωτικού περιβλήματος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3.3 / Σελ.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Διογκωμένη πολυουρεθάνη ελεύθερης CFC με πλαστικό κάλυμμα διαιρούμενο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Ελάχιστο πάχος μονωτικού περιβλήματος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3.3 / Σελ.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&gt;= 30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Μέγιστος συντελεστής θερμικής αγωγιμότητας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3.3 / Σελ.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&lt;= 0.032 W/m2K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Δ. ΕΓΓΡΑΦΑ &amp; ΠΙΣΤΟΠΟΙΗΤΙΚΑ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Διαστασιολόγηση - Υπολογισμός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4.1 / Σελ.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Τεύχος / Φύλλο Υπολογισμού και Διαστασιολόγησης ενεργειακής απόδοσης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Διαστασιολόγηση - Υπολογισμός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4.1 / Σελ.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Πιστοποίηση κατά AHRI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Λειτουργική Ικανότητα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4.2 / Σελ.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Διάγραμμα Πίεσης - Θερμοκρασίας (Pressure - Temperature rating)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Πιστοποίηση κατασκευής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4.3 / Σελ.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Πιστοποιητικό Επιθεώρησης 3.1 Β κατά το πρότυπο ΕΝ 10204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Πιστοποίηση κατασκευής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4.3 / Σελ.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Πιστοποιητικό Υδραυλικής δοκιμής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Συνοδευτικά έγγραφα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4.4 / Σελ.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Τεχνικό εγχειρίδιο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Συνοδευτικά έγγραφα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4.4 / Σελ.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Μηχανολογικό Σχέδιο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Συνοδευτικά έγγραφα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4.5 / Σελ.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Εγχειρίδιο εγκατάστασης, συντήρησης &amp; λειτουργίας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Εφαρμογή συστήματος ελέγχου ποιότητας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4.6 / Σελ.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ISO 9001:2015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Εξοπλισμός υπό πίεση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4.6 / Σελ.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Δήλωση συμμόρφωσης κατά PED 97/23 σε συμμόρφωση με την ευρωπαϊκή κατευθυντήρια οδηγία 2014/68/ΕΕ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Περιβαλλοντική συμμόρφωση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4.7 / Σελ.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Πιστοποίηση RoHS 3 (EU 2015/863)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ΗΛΜ Ν.007, ΗΛΜ Ν.008, ΗΛΜ Ν.009, ΗΛΜ Ν.010, ΗΛΜ Ν.011, ΗΛΜ Ν.012, ΗΛΜ Ν.013, ΗΛΜ Ν.014, ΗΛΜ Ν.015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Περιβαλλοντική διαχείριση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Ενότητα 4.8 / Σελ.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 ISO 14001:2015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30j0zll" w:id="0"/>
    <w:bookmarkEnd w:id="0"/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70c0"/>
          <w:sz w:val="24"/>
          <w:szCs w:val="24"/>
        </w:rPr>
        <w:sectPr>
          <w:type w:val="nextPage"/>
          <w:pgSz w:h="11906" w:w="16838" w:orient="landscape"/>
          <w:pgMar w:bottom="992" w:top="1134" w:left="1133" w:right="1021" w:header="567" w:footer="567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Οι προαναφερόμενοι πίνακες στοιχείων τεχνικής προσφοράς πρέπει υποχρεωτικά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επί ποινή αποκλεισμού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να συμπληρωθούν από τον προμηθευτή, με παραπομπή σε συγκεκριμένες σελίδες στις αντίστοιχες αναλυτικές τεχνικές προδιαγραφές της προσφοράς.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Για τη συμπλήρωση των προαναφερόμενων πινάκων συμμόρφωσης, ο Υποψήφιος Ανάδοχος θα πρέπει να έχει υπ’ όψιν του τα παρακάτω: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Στη Στήλη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ΤΕΧΝΙΚΗ ΠΡΟΔΙΑΓΡΑΦΗ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περιγράφονται αναλυτικά οι αντίστοιχοι τεχνικοί όροι, υποχρεώσεις ή επεξηγήσεις, για τα οποία θα πρέπει να δοθούν αντίστοιχες απαντήσεις.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Αν στη στήλη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ΟΥΣΙΑΣΤΙΚΗ ΑΠΑΙΤΗΣΗ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έχει συμπληρωθεί η λέξη ΝΑΙ ή έχουν δοθεί όρια τιμών των ζητούμενων μεγεθών σημαίνει ότι η αντίστοιχη προδιαγραφή είναι υποχρεωτική για τον Υποψήφιο Ανάδοχο και απαιτείται συμμόρφωση, η δε προδιαγραφή ή το αριθμητικό μέγεθος αυτής, ανάλογα με την περίπτωση, θεωρούνται ως απαράβατοι όροι σύμφωνα με την παρούσα Προκήρυξη.  Προσφορές που δεν καλύπτουν πλήρως απαράβατους όρους απορρίπτονται ως απαράδεκτες. Αν η στήλη ΟΥΣΙΑΣΤΙΚΗ ΑΠΑΙΤΗΣΗ δεν έχει συμπληρωθεί με τη λέξη ΝΑΙ ή με κάποιον αριθμό, τότε η προδιαγραφή δεν είναι απαράβατος όρος. Προσφορές που δεν καλύπτουν τους μη απαράβατους όρους ή αποκλίνουν από αυτούς δεν απορρίπτονται.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Όπου η απαίτηση εκφράζεται με αριθμητικό μέγεθος, με τη σχέση «μεγαλύτερο ή ίσο» ή «ίσο»,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ή «μικρότερο ή ίσο», ή «μικρότερο» 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ΑΠΑΝΤΗΣΗ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του Υποψήφιου Αναδόχου είναι υποχρεωτικά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με το αριθμητικό μέγεθος, ενώ συνδυαστικά μπορεί να διατυπωθεί και με «ΝΑΙ ‐κόμμα ‐ και το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αριθμητικό μέγεθος» (πχ «ΝΑΙ, 100»).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Σε περίπτωση που το προσφερόμενο μέγεθος είναι μικρότερο από το υποχρεωτικά απαιτούμενο, η τεχνική προσφορά χαρακτηρίζεται «τεχνικά ανεπαρκής και απαράδεκτη» και επιφέρει την απόρριψη της προσφοράς στο σύνολό της, έπειτα από εισήγηση της αρμόδιας Επιτροπής.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Στη στήλη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ΑΠΑΝΤΗΣΗ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σημειώνεται η απάντηση του Υποψήφιου Αναδόχου που έχει τη μορφή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ΝΑΙ/ΟΧΙ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Προσφορά. Απλή κατάφαση ή επεξήγηση δεν αποτελεί απόδειξη πλήρωσης της προδιαγραφής και η Επιτροπή έχει την υποχρέωση ελέγχου και επιβεβαίωσης της πλήρωσης της απαίτησης μέσα από προσφορά του Υποψηφίου και με χρήση των παραπομπών που δίνονται.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Στη στήλη ΠΑΡΑΠΟΜΠΗ ΣΕ ΕΔΑΦΙΟ ΤΗΣ ΤΕΧΝΙΚΗΣ ΠΡΟΣΦΟΡΑΣ 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υπηρεσιών, του εξοπλισμού ή του τρόπου διασύνδεσης και λειτουργίας ή αναφορές μεθοδολογίας εγκατάστασης και υποστήριξης κλπ., που κατά την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κρίση του Υποψηφίου Αναδόχου τεκμηριώνουν τα στοιχεία των Πινάκων Συμμόρφωσης.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Αντίστοιχα, στο τεχνικό φυλλάδιο (αν υποβάλλεται σε έντυπη μορφή) ή στην αναφορά, θα σημανθεί (πχ υπογραμμιστεί)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. Η σήμανση των παραπομπών θα πρέπει να είναι η πλέον σαφής κατά περίπτωση, ώστε η Επιτροπή να μπορεί να επιβεβαιώνει την κάλυψη των απαιτήσεων. Σε περίπτωση ασαφειών παραπομπών, οι συναφείς προδιαγραφές είναι δυνατόν να χαρακτηρίζονται ως «μη καλυπτόμενες» κατά την κρίση της επιτροπής.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πίνακας συμπληρώνεται πλήρως και σε όλο του το εύρος. Ο υποψήφιος απαντά και τοποθετείται σε όλα τα πεδία του πίνακα, ώστε να φαίνεται η πληρότητα και η ολοκλήρωση της πρότασής του.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πίνακας συμπληρώνεται και παρουσιάζεται με την ίδια τάξη, σειρά, θέση και αρίθμηση, όπως ακριβώς αναπτύσσεται στην παρούσα Προκήρυξη.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πίνακας συμπληρώνεται με αποκλειστική ευθύνη των Υποψηφίων Αναδόχων.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Τονίζεται ότι είναι υποχρεωτική, επί ποινή αποκλεισμού, η απάντηση σε όλα τα σημεία των ΠΙΝΑΚΩΝ ΣΥΜΜΟΡΦΩΣΗΣ και η παροχή όλων των πληροφοριών που ζητούνται.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Κοζάνη 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Ο ΣΥΝΤΑΞΑΣ</w:t>
        <w:tab/>
        <w:tab/>
        <w:tab/>
        <w:tab/>
        <w:t xml:space="preserve">     </w:t>
        <w:tab/>
        <w:t xml:space="preserve">       </w:t>
        <w:tab/>
        <w:tab/>
        <w:t xml:space="preserve">ΕΛΕΓΧΘΗΚΕ / ΘΕΩΡΗΘΗΚΕ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ΑΝΤΩΝΙΑΔΗΣ ΧΡΗΣΤΟΣ</w:t>
        <w:tab/>
        <w:tab/>
        <w:tab/>
        <w:tab/>
        <w:t xml:space="preserve">       </w:t>
        <w:tab/>
        <w:tab/>
        <w:t xml:space="preserve">ΠΑΝΟΥΣΗΣ Ι. ΒΑΣΙΛΕΙΟΣ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6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Προϊστάμενος Τμήματος Εξυπηρέτησης Πελατών</w:t>
        <w:tab/>
        <w:tab/>
        <w:tab/>
        <w:t xml:space="preserve">Δ/ΝΤΗΣ ΥΠΗΡΕΣΙΑΣ ΤΗΛ/ΝΣΗΣ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35"/>
        </w:tabs>
        <w:spacing w:after="0" w:before="0" w:line="240" w:lineRule="auto"/>
        <w:ind w:left="0" w:right="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3.8582677165355" w:top="1133.8582677165355" w:left="1133.8582677165355" w:right="1020.472440944882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urier New"/>
  <w:font w:name="HellasSouv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ΠΑΡΑΡΤΗΜΑ </w:t>
    </w: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Ε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’ -  Φύλλο </w:t>
    </w: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σ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υμμόρφωσης τεχνικών προδιαγραφών                                                   Σελ.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4">
    <w:pPr>
      <w:spacing w:after="160" w:line="259" w:lineRule="auto"/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“ΠΡΟΜΗΘΕΙΑ ΣΤΟΙΧΕΙΩΝ ΕΝΑΛΛΑΓΗΣ ΘΕΡΜΙΚΩΝ ΥΠΟΣΤΑΘΜΩΝ ΚΑΤΑΝΑΛΩΤΩΝ ΤΗΛΕΘΕΡΜΑΝΣΗΣ ΚΟΖΑΝΗΣ ΓΙΑ ΤΙΣ ΠΕΡΙΟΔΟΥΣ ΛΕΙΤΟΥΡΓΙΑΣ 2022/2023 &amp; 2023/2024” - Αριθμός αναφοράς : ΤΘ 0444/202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lasSouv" w:cs="HellasSouv" w:eastAsia="HellasSouv" w:hAnsi="HellasSouv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